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E4" w:rsidRDefault="004348E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bookmarkStart w:id="0" w:name="_GoBack"/>
      <w:bookmarkEnd w:id="0"/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AA3595">
        <w:rPr>
          <w:rFonts w:eastAsiaTheme="majorEastAsia" w:cstheme="majorBidi"/>
          <w:sz w:val="32"/>
          <w:szCs w:val="32"/>
        </w:rPr>
        <w:t>6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152009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615B5" w:rsidRPr="002615B5">
        <w:rPr>
          <w:rFonts w:eastAsiaTheme="majorEastAsia" w:cstheme="majorBidi"/>
          <w:sz w:val="32"/>
          <w:szCs w:val="32"/>
        </w:rPr>
        <w:t>W</w:t>
      </w:r>
      <w:r w:rsidR="00AA3595">
        <w:rPr>
          <w:rFonts w:eastAsiaTheme="majorEastAsia" w:cstheme="majorBidi"/>
          <w:sz w:val="32"/>
          <w:szCs w:val="32"/>
        </w:rPr>
        <w:t>arunki odbioru</w:t>
      </w:r>
    </w:p>
    <w:p w:rsidR="00AA3595" w:rsidRDefault="00AA3595" w:rsidP="00AA3595">
      <w:pPr>
        <w:pStyle w:val="Nagwek1"/>
        <w:numPr>
          <w:ilvl w:val="0"/>
          <w:numId w:val="0"/>
        </w:numPr>
        <w:ind w:left="432"/>
        <w:jc w:val="both"/>
        <w:rPr>
          <w:b w:val="0"/>
          <w:sz w:val="24"/>
          <w:szCs w:val="24"/>
        </w:rPr>
      </w:pPr>
    </w:p>
    <w:p w:rsidR="00AA3595" w:rsidRPr="00AA3595" w:rsidRDefault="00AA3595" w:rsidP="00AA3595">
      <w:pPr>
        <w:pStyle w:val="Nagwek1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A3595">
        <w:rPr>
          <w:b w:val="0"/>
          <w:sz w:val="28"/>
          <w:szCs w:val="28"/>
        </w:rPr>
        <w:t>Usługa transmisji danych za pomocą łączy transmisji danych pomiędzy 56  lokalizacjami</w:t>
      </w:r>
    </w:p>
    <w:p w:rsidR="00AA3595" w:rsidRDefault="00AA3595" w:rsidP="00E27277">
      <w:pPr>
        <w:pStyle w:val="Nagwek1"/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AA3595">
        <w:rPr>
          <w:b w:val="0"/>
          <w:sz w:val="24"/>
          <w:szCs w:val="24"/>
        </w:rPr>
        <w:t>Usługa „VPLS” – 39 lokalizacji</w:t>
      </w:r>
    </w:p>
    <w:p w:rsidR="00F37C07" w:rsidRPr="00AA3595" w:rsidRDefault="00F37C07" w:rsidP="00C94C0D">
      <w:pPr>
        <w:pStyle w:val="Nagwek1"/>
        <w:numPr>
          <w:ilvl w:val="0"/>
          <w:numId w:val="0"/>
        </w:numPr>
        <w:ind w:left="5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 </w:t>
      </w:r>
      <w:r w:rsidR="00C94C0D">
        <w:rPr>
          <w:b w:val="0"/>
          <w:sz w:val="24"/>
          <w:szCs w:val="24"/>
        </w:rPr>
        <w:t>dołączeniu urządzeń brzegowych Zamawiającego do infrastruktury Wykonawcy zostanie z nich wykonane polecenie ping z CPD-1 i CPD-2 do wybranych innych trzech lokalizacji oraz z tych lokalizacji do CPOD-1 i CPD-2. Czas odpowiedzi nie może przekroczyć 50 ms dla obu kierunków.</w:t>
      </w:r>
    </w:p>
    <w:p w:rsidR="00AA3595" w:rsidRDefault="00AA3595" w:rsidP="00E27277">
      <w:pPr>
        <w:pStyle w:val="Nagwek1"/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AA3595">
        <w:rPr>
          <w:b w:val="0"/>
          <w:sz w:val="24"/>
          <w:szCs w:val="24"/>
        </w:rPr>
        <w:t>Usługa „Ethernet” – 14 połączeń</w:t>
      </w:r>
    </w:p>
    <w:p w:rsidR="00C94C0D" w:rsidRPr="00AA3595" w:rsidRDefault="00C94C0D" w:rsidP="00C94C0D">
      <w:pPr>
        <w:pStyle w:val="Nagwek1"/>
        <w:numPr>
          <w:ilvl w:val="0"/>
          <w:numId w:val="0"/>
        </w:numPr>
        <w:ind w:left="5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 dołączeniu urządzeń brzegowych Zamawiającego do infrastruktury Wykonawcy po obu stronach łącza zostanie pomiędzy nimi polecenie ping. Czas odpowiedzi nie może przekroczyć 50 ms dla obu kierunków.</w:t>
      </w:r>
    </w:p>
    <w:p w:rsidR="00AA3595" w:rsidRDefault="00AA3595" w:rsidP="00E27277">
      <w:pPr>
        <w:pStyle w:val="Nagwek1"/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AA3595">
        <w:rPr>
          <w:b w:val="0"/>
          <w:sz w:val="24"/>
          <w:szCs w:val="24"/>
        </w:rPr>
        <w:t>Usługa „ciemne włókna” – 3 pary włókien</w:t>
      </w:r>
    </w:p>
    <w:p w:rsidR="00C94C0D" w:rsidRPr="00AA3595" w:rsidRDefault="00C94C0D" w:rsidP="00C94C0D">
      <w:pPr>
        <w:pStyle w:val="Nagwek1"/>
        <w:numPr>
          <w:ilvl w:val="0"/>
          <w:numId w:val="0"/>
        </w:numPr>
        <w:ind w:left="5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 dołączeniu urządzeń brzegowych Zamawiającego do infrastruktury Wykonawcy po obu stronach zostanie pomiędzy nimi polecenie ping. Czas odpowiedzi nie może przekroczyć 50 ms dla obu kierunków.</w:t>
      </w:r>
    </w:p>
    <w:p w:rsidR="00AA3595" w:rsidRDefault="00AA3595" w:rsidP="00AA3595">
      <w:pPr>
        <w:pStyle w:val="Nagwek1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A3595">
        <w:rPr>
          <w:b w:val="0"/>
          <w:sz w:val="28"/>
          <w:szCs w:val="28"/>
        </w:rPr>
        <w:t>Usługa dostępu do sieci Internet</w:t>
      </w:r>
    </w:p>
    <w:p w:rsidR="00C94C0D" w:rsidRPr="00C94C0D" w:rsidRDefault="00520F6F" w:rsidP="00C94C0D">
      <w:pPr>
        <w:pStyle w:val="Nagwek1"/>
        <w:numPr>
          <w:ilvl w:val="0"/>
          <w:numId w:val="0"/>
        </w:numPr>
        <w:ind w:left="43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infrastruktury Wykonawcy</w:t>
      </w:r>
      <w:r w:rsidRPr="00C94C0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zostanie dołączony i skonfigurowany router Zamawiającego, a do routera komputer PC. Z tego komputera musi być dostęp do zasobów sieci Internet – zostaną otwarte trzy dowolne strony polskie i zagraniczne.</w:t>
      </w:r>
    </w:p>
    <w:p w:rsidR="00AA3595" w:rsidRPr="00AA3595" w:rsidRDefault="00AA3595" w:rsidP="00AA3595">
      <w:pPr>
        <w:pStyle w:val="Nagwek1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A3595">
        <w:rPr>
          <w:b w:val="0"/>
          <w:sz w:val="28"/>
          <w:szCs w:val="28"/>
        </w:rPr>
        <w:t>Usługa sprzętu transmisyjnego świadczona za pomocą wydzielenia dedykowanych wirtualnych routerów</w:t>
      </w:r>
    </w:p>
    <w:p w:rsidR="00520F6F" w:rsidRPr="00AA3595" w:rsidRDefault="00520F6F" w:rsidP="00520F6F">
      <w:pPr>
        <w:pStyle w:val="Nagwek1"/>
        <w:numPr>
          <w:ilvl w:val="0"/>
          <w:numId w:val="0"/>
        </w:numPr>
        <w:ind w:left="5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 wewnątrz sieci Zamawiającego (wirtualne maszyna w CPD-1 i CPD-2 z dostępem do sieci Internet) na stronie </w:t>
      </w:r>
      <w:hyperlink r:id="rId8" w:history="1">
        <w:r w:rsidRPr="00B80BB9">
          <w:rPr>
            <w:rStyle w:val="Hipercze"/>
            <w:b w:val="0"/>
            <w:sz w:val="24"/>
            <w:szCs w:val="24"/>
          </w:rPr>
          <w:t>https://www.whatismyip.com</w:t>
        </w:r>
      </w:hyperlink>
      <w:r>
        <w:rPr>
          <w:b w:val="0"/>
          <w:sz w:val="24"/>
          <w:szCs w:val="24"/>
        </w:rPr>
        <w:t xml:space="preserve"> zostanie odczytany publiczny adres IP oraz numer ASN z którego zostało nawiązane połączenie do tej strony.</w:t>
      </w:r>
    </w:p>
    <w:p w:rsidR="00AA3595" w:rsidRPr="00E27277" w:rsidRDefault="00AA3595" w:rsidP="00AA3595">
      <w:pPr>
        <w:pStyle w:val="Nagwek1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E27277">
        <w:rPr>
          <w:b w:val="0"/>
          <w:sz w:val="28"/>
          <w:szCs w:val="28"/>
        </w:rPr>
        <w:t>Usługa kolokacji</w:t>
      </w:r>
      <w:r w:rsidR="00E27277" w:rsidRPr="00E27277">
        <w:rPr>
          <w:b w:val="0"/>
          <w:sz w:val="28"/>
          <w:szCs w:val="28"/>
        </w:rPr>
        <w:t xml:space="preserve"> </w:t>
      </w:r>
      <w:r w:rsidRPr="00E27277">
        <w:rPr>
          <w:b w:val="0"/>
          <w:sz w:val="28"/>
          <w:szCs w:val="28"/>
        </w:rPr>
        <w:t xml:space="preserve">urządzeń </w:t>
      </w:r>
      <w:r w:rsidR="00333505">
        <w:rPr>
          <w:b w:val="0"/>
          <w:sz w:val="28"/>
          <w:szCs w:val="28"/>
        </w:rPr>
        <w:t>„</w:t>
      </w:r>
      <w:r w:rsidRPr="00E27277">
        <w:rPr>
          <w:b w:val="0"/>
          <w:sz w:val="28"/>
          <w:szCs w:val="28"/>
        </w:rPr>
        <w:t>Procesora</w:t>
      </w:r>
      <w:r w:rsidR="00333505">
        <w:rPr>
          <w:b w:val="0"/>
          <w:sz w:val="28"/>
          <w:szCs w:val="28"/>
        </w:rPr>
        <w:t>”</w:t>
      </w:r>
    </w:p>
    <w:p w:rsidR="00AA3595" w:rsidRPr="00357F89" w:rsidRDefault="00D83B6D" w:rsidP="00D83B6D">
      <w:pPr>
        <w:pStyle w:val="Nagwek1"/>
        <w:numPr>
          <w:ilvl w:val="0"/>
          <w:numId w:val="0"/>
        </w:numPr>
        <w:ind w:left="57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Podczas wizji lokalnych w CPD-1 i CPD-2 zostanie sprawdzona zgodność poszczególnych parametrów obu CPD z wymogami zawartymi w z</w:t>
      </w:r>
      <w:r w:rsidRPr="00D83B6D">
        <w:rPr>
          <w:b w:val="0"/>
          <w:sz w:val="24"/>
          <w:szCs w:val="24"/>
        </w:rPr>
        <w:t>ałącznik</w:t>
      </w:r>
      <w:r>
        <w:rPr>
          <w:b w:val="0"/>
          <w:sz w:val="24"/>
          <w:szCs w:val="24"/>
        </w:rPr>
        <w:t>u</w:t>
      </w:r>
      <w:r w:rsidRPr="00D83B6D">
        <w:rPr>
          <w:b w:val="0"/>
          <w:sz w:val="24"/>
          <w:szCs w:val="24"/>
        </w:rPr>
        <w:t xml:space="preserve"> nr 4 do OPZ</w:t>
      </w:r>
      <w:r>
        <w:rPr>
          <w:b w:val="0"/>
          <w:sz w:val="24"/>
          <w:szCs w:val="24"/>
        </w:rPr>
        <w:t>.</w:t>
      </w:r>
    </w:p>
    <w:sectPr w:rsidR="00AA3595" w:rsidRPr="00357F89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BD" w:rsidRDefault="00DB08BD" w:rsidP="006F4823">
      <w:pPr>
        <w:spacing w:after="0" w:line="240" w:lineRule="auto"/>
      </w:pPr>
      <w:r>
        <w:separator/>
      </w:r>
    </w:p>
  </w:endnote>
  <w:endnote w:type="continuationSeparator" w:id="0">
    <w:p w:rsidR="00DB08BD" w:rsidRDefault="00DB08BD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BD" w:rsidRDefault="00DB08BD" w:rsidP="006F4823">
      <w:pPr>
        <w:spacing w:after="0" w:line="240" w:lineRule="auto"/>
      </w:pPr>
      <w:r>
        <w:separator/>
      </w:r>
    </w:p>
  </w:footnote>
  <w:footnote w:type="continuationSeparator" w:id="0">
    <w:p w:rsidR="00DB08BD" w:rsidRDefault="00DB08BD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6987"/>
    <w:rsid w:val="000547B1"/>
    <w:rsid w:val="00072608"/>
    <w:rsid w:val="000F192A"/>
    <w:rsid w:val="00101E9B"/>
    <w:rsid w:val="00113E82"/>
    <w:rsid w:val="00126B56"/>
    <w:rsid w:val="00132FDC"/>
    <w:rsid w:val="001450E4"/>
    <w:rsid w:val="00152009"/>
    <w:rsid w:val="001922C3"/>
    <w:rsid w:val="001979FA"/>
    <w:rsid w:val="001A11F3"/>
    <w:rsid w:val="001C6641"/>
    <w:rsid w:val="001D3709"/>
    <w:rsid w:val="001D79F8"/>
    <w:rsid w:val="001E79EA"/>
    <w:rsid w:val="001F5D24"/>
    <w:rsid w:val="0020041D"/>
    <w:rsid w:val="00203A37"/>
    <w:rsid w:val="002059B9"/>
    <w:rsid w:val="0023041B"/>
    <w:rsid w:val="002416D1"/>
    <w:rsid w:val="002434AB"/>
    <w:rsid w:val="002440C0"/>
    <w:rsid w:val="002615B5"/>
    <w:rsid w:val="002646BD"/>
    <w:rsid w:val="002754EE"/>
    <w:rsid w:val="00283671"/>
    <w:rsid w:val="00286237"/>
    <w:rsid w:val="002A4194"/>
    <w:rsid w:val="00302471"/>
    <w:rsid w:val="00303394"/>
    <w:rsid w:val="00304470"/>
    <w:rsid w:val="00315A76"/>
    <w:rsid w:val="00315C7F"/>
    <w:rsid w:val="00320D1C"/>
    <w:rsid w:val="00333505"/>
    <w:rsid w:val="00333BAF"/>
    <w:rsid w:val="003425DD"/>
    <w:rsid w:val="0034355F"/>
    <w:rsid w:val="003475B9"/>
    <w:rsid w:val="00357F89"/>
    <w:rsid w:val="00385912"/>
    <w:rsid w:val="00394C38"/>
    <w:rsid w:val="003B25CB"/>
    <w:rsid w:val="003B3D72"/>
    <w:rsid w:val="003C0CAC"/>
    <w:rsid w:val="004202B2"/>
    <w:rsid w:val="0043326A"/>
    <w:rsid w:val="004348E4"/>
    <w:rsid w:val="00437EE5"/>
    <w:rsid w:val="00465A0B"/>
    <w:rsid w:val="00477169"/>
    <w:rsid w:val="004B3595"/>
    <w:rsid w:val="004B3D3A"/>
    <w:rsid w:val="004E11A8"/>
    <w:rsid w:val="004E5D90"/>
    <w:rsid w:val="0051295F"/>
    <w:rsid w:val="00520F6F"/>
    <w:rsid w:val="00531F0C"/>
    <w:rsid w:val="005433AA"/>
    <w:rsid w:val="00553A6F"/>
    <w:rsid w:val="00556BA1"/>
    <w:rsid w:val="005911A3"/>
    <w:rsid w:val="0059292C"/>
    <w:rsid w:val="0059500F"/>
    <w:rsid w:val="005B39C6"/>
    <w:rsid w:val="005C6091"/>
    <w:rsid w:val="005D0E3C"/>
    <w:rsid w:val="005E3A7F"/>
    <w:rsid w:val="005E691B"/>
    <w:rsid w:val="00657300"/>
    <w:rsid w:val="006720E8"/>
    <w:rsid w:val="006817EE"/>
    <w:rsid w:val="006863B4"/>
    <w:rsid w:val="00690C75"/>
    <w:rsid w:val="006A3A1A"/>
    <w:rsid w:val="006B5537"/>
    <w:rsid w:val="006F4823"/>
    <w:rsid w:val="00705AAF"/>
    <w:rsid w:val="00710D67"/>
    <w:rsid w:val="00711D38"/>
    <w:rsid w:val="007222AC"/>
    <w:rsid w:val="00763CA0"/>
    <w:rsid w:val="007701A9"/>
    <w:rsid w:val="007704F2"/>
    <w:rsid w:val="007729D8"/>
    <w:rsid w:val="007E4CED"/>
    <w:rsid w:val="00800286"/>
    <w:rsid w:val="00802916"/>
    <w:rsid w:val="008231BC"/>
    <w:rsid w:val="00824058"/>
    <w:rsid w:val="008606F5"/>
    <w:rsid w:val="00862D5D"/>
    <w:rsid w:val="008734E4"/>
    <w:rsid w:val="00890554"/>
    <w:rsid w:val="008C6396"/>
    <w:rsid w:val="008E2C34"/>
    <w:rsid w:val="00904542"/>
    <w:rsid w:val="00907997"/>
    <w:rsid w:val="00927AAD"/>
    <w:rsid w:val="00931171"/>
    <w:rsid w:val="009341AA"/>
    <w:rsid w:val="009348DC"/>
    <w:rsid w:val="0094143B"/>
    <w:rsid w:val="00946BB9"/>
    <w:rsid w:val="00967D51"/>
    <w:rsid w:val="00970910"/>
    <w:rsid w:val="009764D8"/>
    <w:rsid w:val="00985DF1"/>
    <w:rsid w:val="009E56E9"/>
    <w:rsid w:val="009F4349"/>
    <w:rsid w:val="00A01A25"/>
    <w:rsid w:val="00A245FE"/>
    <w:rsid w:val="00A51068"/>
    <w:rsid w:val="00A65354"/>
    <w:rsid w:val="00AA3595"/>
    <w:rsid w:val="00AA3598"/>
    <w:rsid w:val="00AB567F"/>
    <w:rsid w:val="00AE7B8C"/>
    <w:rsid w:val="00AF024A"/>
    <w:rsid w:val="00AF7AD2"/>
    <w:rsid w:val="00B0740C"/>
    <w:rsid w:val="00B23CEE"/>
    <w:rsid w:val="00B373EB"/>
    <w:rsid w:val="00B740D5"/>
    <w:rsid w:val="00B748B6"/>
    <w:rsid w:val="00B81641"/>
    <w:rsid w:val="00B850D3"/>
    <w:rsid w:val="00B94FE4"/>
    <w:rsid w:val="00BA326C"/>
    <w:rsid w:val="00BA3F5C"/>
    <w:rsid w:val="00BA4DBB"/>
    <w:rsid w:val="00BA6808"/>
    <w:rsid w:val="00BB3EA9"/>
    <w:rsid w:val="00BC0B73"/>
    <w:rsid w:val="00BC502E"/>
    <w:rsid w:val="00C13617"/>
    <w:rsid w:val="00C2688E"/>
    <w:rsid w:val="00C65EF3"/>
    <w:rsid w:val="00C915C7"/>
    <w:rsid w:val="00C939C4"/>
    <w:rsid w:val="00C94C0D"/>
    <w:rsid w:val="00CA360A"/>
    <w:rsid w:val="00CA6058"/>
    <w:rsid w:val="00CA7E55"/>
    <w:rsid w:val="00CB09F5"/>
    <w:rsid w:val="00CC0B12"/>
    <w:rsid w:val="00D04277"/>
    <w:rsid w:val="00D20D4A"/>
    <w:rsid w:val="00D36ADE"/>
    <w:rsid w:val="00D5394E"/>
    <w:rsid w:val="00D567BD"/>
    <w:rsid w:val="00D720B1"/>
    <w:rsid w:val="00D8385F"/>
    <w:rsid w:val="00D83B6D"/>
    <w:rsid w:val="00D84352"/>
    <w:rsid w:val="00D8460A"/>
    <w:rsid w:val="00D8595F"/>
    <w:rsid w:val="00D85AEE"/>
    <w:rsid w:val="00D906A5"/>
    <w:rsid w:val="00DA35C8"/>
    <w:rsid w:val="00DB08BD"/>
    <w:rsid w:val="00DB119F"/>
    <w:rsid w:val="00DB5DF3"/>
    <w:rsid w:val="00DB640A"/>
    <w:rsid w:val="00DD283B"/>
    <w:rsid w:val="00DE1A25"/>
    <w:rsid w:val="00DE2AF7"/>
    <w:rsid w:val="00E041C9"/>
    <w:rsid w:val="00E27277"/>
    <w:rsid w:val="00E40E9E"/>
    <w:rsid w:val="00E44625"/>
    <w:rsid w:val="00E545CA"/>
    <w:rsid w:val="00EA5119"/>
    <w:rsid w:val="00ED4D55"/>
    <w:rsid w:val="00EE756F"/>
    <w:rsid w:val="00EF302A"/>
    <w:rsid w:val="00F0076F"/>
    <w:rsid w:val="00F011F6"/>
    <w:rsid w:val="00F04C8A"/>
    <w:rsid w:val="00F15F26"/>
    <w:rsid w:val="00F165EE"/>
    <w:rsid w:val="00F2434D"/>
    <w:rsid w:val="00F37C07"/>
    <w:rsid w:val="00F50DAD"/>
    <w:rsid w:val="00F702CB"/>
    <w:rsid w:val="00FC6BA0"/>
    <w:rsid w:val="00FC7CA6"/>
    <w:rsid w:val="00FD145F"/>
    <w:rsid w:val="00FE063F"/>
    <w:rsid w:val="00FE1F8A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CD45-B728-4BB8-A926-A01D7C4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B5D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ismyi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3029-0FC1-4DB0-8C1E-C9EDFC0D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2018-06-21T16:40:00Z</dcterms:created>
  <dcterms:modified xsi:type="dcterms:W3CDTF">2018-06-21T16:40:00Z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