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8E7866D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D33718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</w:t>
      </w:r>
      <w:r w:rsidR="00F94D1C">
        <w:rPr>
          <w:rFonts w:cstheme="minorHAnsi"/>
          <w:sz w:val="24"/>
          <w:szCs w:val="24"/>
        </w:rPr>
        <w:t>5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4233809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>
        <w:rPr>
          <w:rFonts w:eastAsiaTheme="majorEastAsia" w:cstheme="minorHAnsi"/>
          <w:sz w:val="32"/>
          <w:szCs w:val="32"/>
        </w:rPr>
        <w:t>3</w:t>
      </w:r>
      <w:r w:rsidR="0076333A">
        <w:rPr>
          <w:rFonts w:eastAsiaTheme="majorEastAsia" w:cstheme="minorHAnsi"/>
          <w:sz w:val="32"/>
          <w:szCs w:val="32"/>
        </w:rPr>
        <w:t>5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60C641E" w:rsidR="0035097C" w:rsidRDefault="0035097C" w:rsidP="00146D71">
      <w:pPr>
        <w:pStyle w:val="Nagwek1"/>
        <w:numPr>
          <w:ilvl w:val="0"/>
          <w:numId w:val="16"/>
        </w:numPr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Przedmiot zamówienia w postępowaniu przetargowym „Dostarczenie, skonfigurowanie, uruchomienie i uzupełnienie istniejących sieci LAN wraz z przełącznikami sieciowymi” dla Części 3</w:t>
      </w:r>
      <w:r w:rsidR="0076333A">
        <w:rPr>
          <w:rFonts w:eastAsiaTheme="minorHAnsi" w:cstheme="minorHAnsi"/>
          <w:b w:val="0"/>
          <w:sz w:val="24"/>
          <w:szCs w:val="24"/>
          <w:lang w:eastAsia="pl-PL"/>
        </w:rPr>
        <w:t>5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(Sieć LAN) obejmuje dostawę, instalację, montaż i konfiguracje sieci LAN.</w:t>
      </w:r>
    </w:p>
    <w:p w14:paraId="11AE5082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6C0FD70" w:rsidR="00B95F02" w:rsidRPr="00B95F02" w:rsidRDefault="00B95F02" w:rsidP="00AF068C">
      <w:pPr>
        <w:pStyle w:val="Nagwek3"/>
      </w:pPr>
      <w:r>
        <w:t xml:space="preserve">Zamawiającym jest </w:t>
      </w:r>
      <w:r w:rsidRPr="005879E1">
        <w:t>Centrum Rehabilitacji im. Prof. Mieczysława Walczaka w Osiecznej</w:t>
      </w:r>
      <w:r>
        <w:t xml:space="preserve">, </w:t>
      </w:r>
      <w:r w:rsidRPr="005879E1">
        <w:t>ul. Zamkowa 2; 64-113 Osieczna</w:t>
      </w:r>
      <w:r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296EBCB6" w14:textId="69AF4CB6" w:rsidR="00DE300B" w:rsidRDefault="00CA6343" w:rsidP="00CA6343">
      <w:pPr>
        <w:pStyle w:val="Nagwek3"/>
      </w:pPr>
      <w:r w:rsidRPr="00CA6343">
        <w:t xml:space="preserve">Budynek w którym zostaną zainstalowane Access </w:t>
      </w:r>
      <w:r w:rsidR="0042740E">
        <w:t xml:space="preserve">Point-y </w:t>
      </w:r>
      <w:r w:rsidRPr="00CA6343">
        <w:t xml:space="preserve">znajduję się w miejscowości Osieczna. </w:t>
      </w:r>
      <w:r w:rsidR="00DE300B">
        <w:t>Jest to zabytkowy budynek Zamku</w:t>
      </w:r>
      <w:r w:rsidR="00DE300B" w:rsidRPr="00DE300B">
        <w:t xml:space="preserve"> w Osiecznej</w:t>
      </w:r>
      <w:r w:rsidR="00DE300B">
        <w:t xml:space="preserve">. </w:t>
      </w:r>
      <w:r w:rsidRPr="00CA6343">
        <w:t>Na II piętrze istnieje możliwość częściowego prowadzenia okablowania strychem III piętra. Lokalizacja AP na poszczególnych kondygnacjach jest podobna co daje możliwość poprowadzenia przewodów sieciowych pionowo.</w:t>
      </w:r>
      <w:r>
        <w:t xml:space="preserve"> </w:t>
      </w:r>
      <w:r w:rsidR="00DE300B" w:rsidRPr="00DE300B">
        <w:t xml:space="preserve">Na parterze </w:t>
      </w:r>
      <w:r w:rsidR="00DE300B">
        <w:t>znajdują się grube</w:t>
      </w:r>
      <w:r w:rsidR="00DE300B" w:rsidRPr="00DE300B">
        <w:t xml:space="preserve"> mury szerokości od 1,5 m do 2,5 m.</w:t>
      </w:r>
    </w:p>
    <w:p w14:paraId="11D6D4A5" w14:textId="39CA8575" w:rsidR="00CA6343" w:rsidRDefault="00CA6343" w:rsidP="00CA6343">
      <w:pPr>
        <w:pStyle w:val="Nagwek3"/>
      </w:pPr>
      <w:r>
        <w:t>W budynku znajduje się jeden punkt dystrybucyjny, który zlokalizowany jest na parterze.</w:t>
      </w:r>
    </w:p>
    <w:p w14:paraId="56306624" w14:textId="77777777" w:rsidR="00B95F02" w:rsidRPr="00B95F02" w:rsidRDefault="00B95F02" w:rsidP="00B95F02"/>
    <w:p w14:paraId="44465039" w14:textId="6F44B500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188F303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261A148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293BA8E5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0E5E06" w:rsidRPr="007D5638" w14:paraId="78FDC056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8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F57" w14:textId="6C9963B2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Kontroler </w:t>
            </w:r>
            <w:proofErr w:type="spellStart"/>
            <w:r>
              <w:t>WiFi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EB" w14:textId="7FBFA7E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885" w14:textId="4BA33121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2CE6904" w14:textId="77777777" w:rsidR="000E5E06" w:rsidRPr="000E5E06" w:rsidRDefault="000E5E06" w:rsidP="000E5E06"/>
    <w:p w14:paraId="3E3BE1BF" w14:textId="77777777" w:rsidR="00C2445E" w:rsidRDefault="00C2445E" w:rsidP="00C2445E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1A502C0A" w14:textId="316CCE88" w:rsidR="00C2445E" w:rsidRDefault="00C2445E" w:rsidP="00C2445E">
      <w:pPr>
        <w:pStyle w:val="Nagwek3"/>
      </w:pPr>
      <w:r>
        <w:t>Wytyczne dotyczące dostawy wraz instalacją, montażem i konfiguracją Urządzeń i Aplikacji zostały opisane w załączniku numer C1</w:t>
      </w:r>
      <w:r w:rsidR="00F9561E">
        <w:t>5</w:t>
      </w:r>
      <w:r>
        <w:t xml:space="preserve"> do OPZ „Wytyczne do dostawy wraz instalacją, montażem i konfiguracją”.</w:t>
      </w:r>
    </w:p>
    <w:p w14:paraId="10B63255" w14:textId="77777777" w:rsidR="00C2445E" w:rsidRDefault="00C2445E" w:rsidP="00C2445E">
      <w:pPr>
        <w:pStyle w:val="Nagwek3"/>
      </w:pPr>
      <w:r>
        <w:lastRenderedPageBreak/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E0FC35C" w14:textId="3CB373A3" w:rsidR="00A75DAE" w:rsidRDefault="00A75DAE" w:rsidP="00A75DAE">
      <w:pPr>
        <w:pStyle w:val="Nagwek3"/>
      </w:pPr>
      <w:r>
        <w:t xml:space="preserve">Średnia </w:t>
      </w:r>
      <w:r w:rsidR="00924EA7">
        <w:t xml:space="preserve">szacowana </w:t>
      </w:r>
      <w:r>
        <w:t>długość instalacji kablowej dla potrzeb instalacji pojedynczego Access Point-a wynosi około 60 metrów.</w:t>
      </w:r>
      <w:r w:rsidRPr="007E6D86">
        <w:rPr>
          <w:color w:val="FF0000"/>
        </w:rPr>
        <w:t xml:space="preserve"> </w:t>
      </w:r>
    </w:p>
    <w:p w14:paraId="0156D569" w14:textId="32076E5F" w:rsidR="00A75DAE" w:rsidRPr="00E241C6" w:rsidRDefault="00A75DAE" w:rsidP="00A75DAE">
      <w:pPr>
        <w:pStyle w:val="Nagwek3"/>
      </w:pPr>
      <w:r>
        <w:t xml:space="preserve">Do zasilania Access Point-ów należy przewidzieć </w:t>
      </w:r>
      <w:r w:rsidR="00924EA7">
        <w:t>dodatkowe</w:t>
      </w:r>
      <w:r>
        <w:t xml:space="preserve"> zasilacz</w:t>
      </w:r>
      <w:r w:rsidR="00924EA7">
        <w:t>e</w:t>
      </w:r>
      <w:r>
        <w:t xml:space="preserve"> POE.</w:t>
      </w:r>
    </w:p>
    <w:p w14:paraId="3F745CE9" w14:textId="7FB812FD" w:rsidR="003B1B7E" w:rsidRPr="003B1B7E" w:rsidRDefault="003B1B7E" w:rsidP="00C97D53">
      <w:pPr>
        <w:pStyle w:val="Nagwek3"/>
      </w:pPr>
      <w:r>
        <w:t xml:space="preserve">Należy tak zaplanować instalację okablowania aby ograniczyć liczbę </w:t>
      </w:r>
      <w:r w:rsidRPr="002B3170">
        <w:t xml:space="preserve"> </w:t>
      </w:r>
      <w:r>
        <w:t xml:space="preserve">i rozmiar </w:t>
      </w:r>
      <w:r w:rsidRPr="002B3170">
        <w:t>natynkowych korytek elektroinstalacyjnych.</w:t>
      </w:r>
      <w:r>
        <w:t xml:space="preserve"> </w:t>
      </w:r>
      <w:r w:rsidR="00A75DAE" w:rsidRPr="00A75DAE">
        <w:t>W budynku brak istniejących tras kablowych.</w:t>
      </w:r>
    </w:p>
    <w:p w14:paraId="2E5B2F7B" w14:textId="77777777" w:rsidR="00DE300B" w:rsidRPr="006B75EA" w:rsidRDefault="00DE300B" w:rsidP="00DE300B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38747F3A" w14:textId="77777777" w:rsidR="00A75DAE" w:rsidRPr="006B75EA" w:rsidRDefault="00A75DAE" w:rsidP="00A75DAE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2CF46733" w14:textId="1D5101BB" w:rsidR="00F62A3F" w:rsidRPr="001C3F2D" w:rsidRDefault="00A75DAE" w:rsidP="000C32BA">
      <w:pPr>
        <w:pStyle w:val="Nagwek3"/>
      </w:pPr>
      <w:bookmarkStart w:id="2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2"/>
    </w:p>
    <w:sectPr w:rsidR="00F62A3F" w:rsidRPr="001C3F2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16F5" w14:textId="77777777" w:rsidR="004418CC" w:rsidRDefault="004418CC" w:rsidP="00C20796">
      <w:pPr>
        <w:spacing w:after="0" w:line="240" w:lineRule="auto"/>
      </w:pPr>
      <w:r>
        <w:separator/>
      </w:r>
    </w:p>
  </w:endnote>
  <w:endnote w:type="continuationSeparator" w:id="0">
    <w:p w14:paraId="166B9EA9" w14:textId="77777777" w:rsidR="004418CC" w:rsidRDefault="004418C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FE2" w14:textId="77777777" w:rsidR="004418CC" w:rsidRDefault="004418CC" w:rsidP="00C20796">
      <w:pPr>
        <w:spacing w:after="0" w:line="240" w:lineRule="auto"/>
      </w:pPr>
      <w:r>
        <w:separator/>
      </w:r>
    </w:p>
  </w:footnote>
  <w:footnote w:type="continuationSeparator" w:id="0">
    <w:p w14:paraId="72EDCBAD" w14:textId="77777777" w:rsidR="004418CC" w:rsidRDefault="004418C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64AAE"/>
    <w:multiLevelType w:val="hybridMultilevel"/>
    <w:tmpl w:val="C554A306"/>
    <w:lvl w:ilvl="0" w:tplc="FB58084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62CC"/>
    <w:rsid w:val="00027D94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46D71"/>
    <w:rsid w:val="001560DA"/>
    <w:rsid w:val="001711BA"/>
    <w:rsid w:val="0018653D"/>
    <w:rsid w:val="00196F25"/>
    <w:rsid w:val="00197FC3"/>
    <w:rsid w:val="001A3E76"/>
    <w:rsid w:val="001C038F"/>
    <w:rsid w:val="001C2249"/>
    <w:rsid w:val="001C2714"/>
    <w:rsid w:val="001C3F2D"/>
    <w:rsid w:val="001D3F72"/>
    <w:rsid w:val="001E59CC"/>
    <w:rsid w:val="001E7F0A"/>
    <w:rsid w:val="00205EEB"/>
    <w:rsid w:val="00212A92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1B7E"/>
    <w:rsid w:val="003B5513"/>
    <w:rsid w:val="003C753F"/>
    <w:rsid w:val="003E2DA7"/>
    <w:rsid w:val="004239DF"/>
    <w:rsid w:val="0042740E"/>
    <w:rsid w:val="0043101D"/>
    <w:rsid w:val="0043187D"/>
    <w:rsid w:val="00434CFE"/>
    <w:rsid w:val="004418CC"/>
    <w:rsid w:val="004433F2"/>
    <w:rsid w:val="004500AD"/>
    <w:rsid w:val="00451768"/>
    <w:rsid w:val="00463210"/>
    <w:rsid w:val="0046337F"/>
    <w:rsid w:val="0046676D"/>
    <w:rsid w:val="00493831"/>
    <w:rsid w:val="004A02B3"/>
    <w:rsid w:val="004A2FC8"/>
    <w:rsid w:val="004A5756"/>
    <w:rsid w:val="004A57C7"/>
    <w:rsid w:val="004B0A3D"/>
    <w:rsid w:val="004B5525"/>
    <w:rsid w:val="004C3955"/>
    <w:rsid w:val="004D1A44"/>
    <w:rsid w:val="004D3AE5"/>
    <w:rsid w:val="004D606E"/>
    <w:rsid w:val="004E260E"/>
    <w:rsid w:val="004F0272"/>
    <w:rsid w:val="00504DAB"/>
    <w:rsid w:val="005264B8"/>
    <w:rsid w:val="00530F0C"/>
    <w:rsid w:val="00531C98"/>
    <w:rsid w:val="00534BA9"/>
    <w:rsid w:val="00535253"/>
    <w:rsid w:val="00560CC6"/>
    <w:rsid w:val="0056456F"/>
    <w:rsid w:val="00565858"/>
    <w:rsid w:val="0056623C"/>
    <w:rsid w:val="0056678F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4F81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705E"/>
    <w:rsid w:val="00757293"/>
    <w:rsid w:val="00757960"/>
    <w:rsid w:val="0076333A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12B1A"/>
    <w:rsid w:val="0084753C"/>
    <w:rsid w:val="00850BD5"/>
    <w:rsid w:val="00865A73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10B0"/>
    <w:rsid w:val="008F0FC0"/>
    <w:rsid w:val="008F34F1"/>
    <w:rsid w:val="00900B67"/>
    <w:rsid w:val="009027F1"/>
    <w:rsid w:val="00911449"/>
    <w:rsid w:val="00920CDF"/>
    <w:rsid w:val="00923BBB"/>
    <w:rsid w:val="00924EA7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1307"/>
    <w:rsid w:val="00A6700C"/>
    <w:rsid w:val="00A67CF0"/>
    <w:rsid w:val="00A71470"/>
    <w:rsid w:val="00A75DAE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F4D8F"/>
    <w:rsid w:val="00B07168"/>
    <w:rsid w:val="00B1068A"/>
    <w:rsid w:val="00B14CC8"/>
    <w:rsid w:val="00B16276"/>
    <w:rsid w:val="00B22080"/>
    <w:rsid w:val="00B40205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2445E"/>
    <w:rsid w:val="00C258A1"/>
    <w:rsid w:val="00C30144"/>
    <w:rsid w:val="00C32888"/>
    <w:rsid w:val="00C45EAC"/>
    <w:rsid w:val="00C462B2"/>
    <w:rsid w:val="00C47DA8"/>
    <w:rsid w:val="00C6246A"/>
    <w:rsid w:val="00C63FD7"/>
    <w:rsid w:val="00C6619A"/>
    <w:rsid w:val="00C6727C"/>
    <w:rsid w:val="00C96E62"/>
    <w:rsid w:val="00CA43C1"/>
    <w:rsid w:val="00CA5AB7"/>
    <w:rsid w:val="00CA6343"/>
    <w:rsid w:val="00CA6E5C"/>
    <w:rsid w:val="00CD69AA"/>
    <w:rsid w:val="00CE09E9"/>
    <w:rsid w:val="00CE36F8"/>
    <w:rsid w:val="00D24D48"/>
    <w:rsid w:val="00D3371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C5641"/>
    <w:rsid w:val="00DD4BF6"/>
    <w:rsid w:val="00DE300B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4C1C"/>
    <w:rsid w:val="00E44F11"/>
    <w:rsid w:val="00E45EA0"/>
    <w:rsid w:val="00E51F83"/>
    <w:rsid w:val="00E5350F"/>
    <w:rsid w:val="00E55C49"/>
    <w:rsid w:val="00E62BBF"/>
    <w:rsid w:val="00E66FF0"/>
    <w:rsid w:val="00E70BC8"/>
    <w:rsid w:val="00E859ED"/>
    <w:rsid w:val="00EA475B"/>
    <w:rsid w:val="00EB1C35"/>
    <w:rsid w:val="00EB283B"/>
    <w:rsid w:val="00ED0531"/>
    <w:rsid w:val="00ED0D00"/>
    <w:rsid w:val="00ED4841"/>
    <w:rsid w:val="00ED626C"/>
    <w:rsid w:val="00EE061B"/>
    <w:rsid w:val="00EE7C21"/>
    <w:rsid w:val="00F01B85"/>
    <w:rsid w:val="00F03F3E"/>
    <w:rsid w:val="00F04B9D"/>
    <w:rsid w:val="00F05AB4"/>
    <w:rsid w:val="00F05BF6"/>
    <w:rsid w:val="00F23849"/>
    <w:rsid w:val="00F24467"/>
    <w:rsid w:val="00F32EC7"/>
    <w:rsid w:val="00F33300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4D1C"/>
    <w:rsid w:val="00F9561E"/>
    <w:rsid w:val="00F97A96"/>
    <w:rsid w:val="00FA6C99"/>
    <w:rsid w:val="00FC1121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character" w:customStyle="1" w:styleId="highlight">
    <w:name w:val="highlight"/>
    <w:basedOn w:val="Domylnaczcionkaakapitu"/>
    <w:rsid w:val="001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25</cp:revision>
  <dcterms:created xsi:type="dcterms:W3CDTF">2020-12-21T00:14:00Z</dcterms:created>
  <dcterms:modified xsi:type="dcterms:W3CDTF">2021-07-28T16:40:00Z</dcterms:modified>
</cp:coreProperties>
</file>