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8B8CCC4" w:rsidR="001D1B79" w:rsidRPr="002E3C80" w:rsidRDefault="004C38D9"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SzW/12</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4EB25F81"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4C38D9">
        <w:rPr>
          <w:rFonts w:eastAsia="Calibri" w:cs="Times New Roman"/>
          <w:b/>
          <w:sz w:val="24"/>
          <w:szCs w:val="24"/>
          <w:lang w:eastAsia="pl-PL"/>
        </w:rPr>
        <w:t>sierpień</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531F453D"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4C38D9">
        <w:rPr>
          <w:rFonts w:eastAsia="Times New Roman" w:cstheme="minorHAnsi"/>
          <w:b/>
          <w:color w:val="000000" w:themeColor="text1"/>
          <w:sz w:val="24"/>
          <w:szCs w:val="24"/>
          <w:lang w:eastAsia="pl-PL"/>
        </w:rPr>
        <w:t>12</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oprogramowania – 52 kpl.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20937E2E"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706136">
        <w:rPr>
          <w:rFonts w:eastAsia="Times New Roman" w:cs="Times New Roman"/>
          <w:b/>
          <w:color w:val="000000" w:themeColor="text1"/>
          <w:sz w:val="24"/>
          <w:szCs w:val="24"/>
          <w:lang w:eastAsia="pl-PL"/>
        </w:rPr>
        <w:t>18</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216D3649"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r w:rsidR="003339E2">
        <w:rPr>
          <w:rFonts w:eastAsia="Times New Roman" w:cs="Times New Roman"/>
          <w:color w:val="000000" w:themeColor="text1"/>
          <w:sz w:val="24"/>
          <w:szCs w:val="24"/>
          <w:lang w:eastAsia="pl-PL"/>
        </w:rPr>
        <w:t xml:space="preserve">do </w:t>
      </w:r>
      <w:r w:rsidR="00D138F0">
        <w:rPr>
          <w:rFonts w:eastAsia="Times New Roman" w:cs="Times New Roman"/>
          <w:color w:val="000000" w:themeColor="text1"/>
          <w:sz w:val="24"/>
          <w:szCs w:val="24"/>
          <w:lang w:eastAsia="pl-PL"/>
        </w:rPr>
        <w:t>22</w:t>
      </w:r>
      <w:bookmarkStart w:id="0" w:name="_GoBack"/>
      <w:bookmarkEnd w:id="0"/>
      <w:r w:rsidR="004C38D9">
        <w:rPr>
          <w:rFonts w:eastAsia="Times New Roman" w:cs="Times New Roman"/>
          <w:color w:val="000000" w:themeColor="text1"/>
          <w:sz w:val="24"/>
          <w:szCs w:val="24"/>
          <w:lang w:eastAsia="pl-PL"/>
        </w:rPr>
        <w:t xml:space="preserve"> listopada</w:t>
      </w:r>
      <w:r w:rsidR="003339E2" w:rsidRPr="00517F0B">
        <w:rPr>
          <w:rFonts w:eastAsia="Times New Roman" w:cs="Times New Roman"/>
          <w:color w:val="000000" w:themeColor="text1"/>
          <w:sz w:val="24"/>
          <w:szCs w:val="24"/>
          <w:lang w:eastAsia="pl-PL"/>
        </w:rPr>
        <w:t xml:space="preserve"> 2021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190DF81A" w:rsidR="003339E2" w:rsidRPr="00517F0B" w:rsidRDefault="00D138F0"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23</w:t>
      </w:r>
      <w:r w:rsidR="004C38D9">
        <w:rPr>
          <w:rFonts w:eastAsia="Times New Roman" w:cstheme="minorHAnsi"/>
          <w:b/>
          <w:color w:val="000000" w:themeColor="text1"/>
          <w:sz w:val="24"/>
          <w:szCs w:val="24"/>
          <w:u w:val="single"/>
          <w:lang w:eastAsia="pl-PL"/>
        </w:rPr>
        <w:t xml:space="preserve"> września</w:t>
      </w:r>
      <w:r w:rsidR="003339E2" w:rsidRPr="00517F0B">
        <w:rPr>
          <w:rFonts w:eastAsia="Times New Roman" w:cstheme="minorHAnsi"/>
          <w:b/>
          <w:color w:val="000000" w:themeColor="text1"/>
          <w:sz w:val="24"/>
          <w:szCs w:val="24"/>
          <w:u w:val="single"/>
          <w:lang w:eastAsia="pl-PL"/>
        </w:rPr>
        <w:t xml:space="preserve"> 2021 r., do godz. 14:00.</w:t>
      </w:r>
      <w:r w:rsidR="003339E2"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przy użyciu miniPortalu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2EFA01C1"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w:t>
      </w:r>
      <w:r w:rsidR="00D138F0">
        <w:rPr>
          <w:rFonts w:eastAsia="Times New Roman" w:cstheme="minorHAnsi"/>
          <w:b/>
          <w:color w:val="000000" w:themeColor="text1"/>
          <w:sz w:val="24"/>
          <w:szCs w:val="24"/>
          <w:u w:val="single"/>
          <w:lang w:eastAsia="pl-PL"/>
        </w:rPr>
        <w:t>23</w:t>
      </w:r>
      <w:r w:rsidR="004C38D9">
        <w:rPr>
          <w:rFonts w:eastAsia="Times New Roman" w:cstheme="minorHAnsi"/>
          <w:b/>
          <w:color w:val="000000" w:themeColor="text1"/>
          <w:sz w:val="24"/>
          <w:szCs w:val="24"/>
          <w:u w:val="single"/>
          <w:lang w:eastAsia="pl-PL"/>
        </w:rPr>
        <w:t xml:space="preserve"> września</w:t>
      </w:r>
      <w:r w:rsidR="004C38D9" w:rsidRPr="00517F0B">
        <w:rPr>
          <w:rFonts w:eastAsia="Times New Roman" w:cstheme="minorHAnsi"/>
          <w:b/>
          <w:color w:val="000000" w:themeColor="text1"/>
          <w:sz w:val="24"/>
          <w:szCs w:val="24"/>
          <w:u w:val="single"/>
          <w:lang w:eastAsia="pl-PL"/>
        </w:rPr>
        <w:t xml:space="preserve"> </w:t>
      </w:r>
      <w:r w:rsidRPr="00517F0B">
        <w:rPr>
          <w:rFonts w:eastAsia="Times New Roman" w:cstheme="minorHAnsi"/>
          <w:b/>
          <w:color w:val="000000" w:themeColor="text1"/>
          <w:sz w:val="24"/>
          <w:szCs w:val="24"/>
          <w:u w:val="single"/>
          <w:lang w:eastAsia="pl-PL"/>
        </w:rPr>
        <w:t>2021 r. o godz. 15:00</w:t>
      </w:r>
      <w:bookmarkEnd w:id="1"/>
      <w:bookmarkEnd w:id="2"/>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07C5" w14:textId="77777777" w:rsidR="007F2BC5" w:rsidRDefault="007F2BC5" w:rsidP="001D1B79">
      <w:pPr>
        <w:spacing w:after="0" w:line="240" w:lineRule="auto"/>
      </w:pPr>
      <w:r>
        <w:separator/>
      </w:r>
    </w:p>
  </w:endnote>
  <w:endnote w:type="continuationSeparator" w:id="0">
    <w:p w14:paraId="5593C5D5" w14:textId="77777777" w:rsidR="007F2BC5" w:rsidRDefault="007F2BC5"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7FDBE229" w:rsidR="00AB1F8B" w:rsidRDefault="00AB1F8B" w:rsidP="00A55E63">
    <w:pPr>
      <w:pStyle w:val="Stopka"/>
      <w:jc w:val="center"/>
    </w:pPr>
    <w:r>
      <w:fldChar w:fldCharType="begin"/>
    </w:r>
    <w:r>
      <w:instrText>PAGE   \* MERGEFORMAT</w:instrText>
    </w:r>
    <w:r>
      <w:fldChar w:fldCharType="separate"/>
    </w:r>
    <w:r w:rsidR="00D138F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9B0C" w14:textId="77777777" w:rsidR="007F2BC5" w:rsidRDefault="007F2BC5" w:rsidP="001D1B79">
      <w:pPr>
        <w:spacing w:after="0" w:line="240" w:lineRule="auto"/>
      </w:pPr>
      <w:r>
        <w:separator/>
      </w:r>
    </w:p>
  </w:footnote>
  <w:footnote w:type="continuationSeparator" w:id="0">
    <w:p w14:paraId="62345C4C" w14:textId="77777777" w:rsidR="007F2BC5" w:rsidRDefault="007F2BC5"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F2BC5"/>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373E9"/>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38F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0DB3"/>
    <w:rsid w:val="00F71780"/>
    <w:rsid w:val="00F7390E"/>
    <w:rsid w:val="00F7589B"/>
    <w:rsid w:val="00F761A3"/>
    <w:rsid w:val="00FA6DE9"/>
    <w:rsid w:val="00FC3D2A"/>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D90F-49BB-4A7A-A308-3E12BFFA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6198</Words>
  <Characters>37191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2021-09-10T18:40:00Z</dcterms:created>
  <dcterms:modified xsi:type="dcterms:W3CDTF">2021-09-10T18:40:00Z</dcterms:modified>
</cp:coreProperties>
</file>